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6FD8AD30" w14:textId="77777777" w:rsidTr="0041512A">
        <w:tc>
          <w:tcPr>
            <w:tcW w:w="2263" w:type="dxa"/>
          </w:tcPr>
          <w:p w14:paraId="242710DF" w14:textId="0358E52D" w:rsidR="0041512A" w:rsidRPr="00FB76B4" w:rsidRDefault="00FB76B4" w:rsidP="0041512A">
            <w:pPr>
              <w:spacing w:before="120" w:after="120"/>
            </w:pPr>
            <w:r>
              <w:rPr>
                <w:color w:val="auto"/>
                <w:u w:val="none"/>
              </w:rPr>
              <w:fldChar w:fldCharType="begin"/>
            </w:r>
            <w:r>
              <w:instrText xml:space="preserve"> HYPERLINK "file:///D:\\Nuovo%20Progetto%20PUC\\PUC\\PROCEDIMENTI\\PROCEDIMENTI.docx" </w:instrText>
            </w:r>
            <w:r>
              <w:rPr>
                <w:color w:val="auto"/>
                <w:u w:val="none"/>
              </w:rPr>
              <w:fldChar w:fldCharType="separate"/>
            </w:r>
            <w:r>
              <w:rPr>
                <w:rStyle w:val="Collegamentoipertestuale"/>
                <w:b/>
              </w:rPr>
              <w:t>Procedimenti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09BF0D36" w14:textId="77777777" w:rsidR="0041512A" w:rsidRDefault="00CD7A44" w:rsidP="008F77D3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 xml:space="preserve">Installazione </w:t>
            </w:r>
            <w:r w:rsidR="006F05DD">
              <w:rPr>
                <w:b/>
                <w:color w:val="006600"/>
                <w:sz w:val="40"/>
                <w:szCs w:val="40"/>
                <w:u w:val="none"/>
              </w:rPr>
              <w:t>VLT</w:t>
            </w:r>
          </w:p>
        </w:tc>
        <w:tc>
          <w:tcPr>
            <w:tcW w:w="1979" w:type="dxa"/>
          </w:tcPr>
          <w:p w14:paraId="016A8E10" w14:textId="4BFA2DF2" w:rsidR="0041512A" w:rsidRPr="0041512A" w:rsidRDefault="00142A9D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46E5F7F3" w14:textId="77777777" w:rsidTr="0041512A">
        <w:tc>
          <w:tcPr>
            <w:tcW w:w="9629" w:type="dxa"/>
            <w:gridSpan w:val="3"/>
          </w:tcPr>
          <w:p w14:paraId="6678FF2D" w14:textId="1DD95BCF" w:rsidR="00F33A15" w:rsidRPr="008A4D4F" w:rsidRDefault="008A4D4F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8A4D4F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4AE24693" w14:textId="77777777" w:rsidR="006F05DD" w:rsidRPr="006F05DD" w:rsidRDefault="006F05DD" w:rsidP="006F05D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6F05DD">
              <w:rPr>
                <w:color w:val="auto"/>
                <w:sz w:val="20"/>
                <w:szCs w:val="20"/>
                <w:u w:val="none"/>
              </w:rPr>
              <w:t xml:space="preserve">Le </w:t>
            </w:r>
            <w:r w:rsidRPr="006F05DD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Videolottery</w:t>
            </w:r>
            <w:r w:rsidRPr="006F05DD">
              <w:rPr>
                <w:color w:val="auto"/>
                <w:sz w:val="20"/>
                <w:szCs w:val="20"/>
                <w:u w:val="none"/>
              </w:rPr>
              <w:t xml:space="preserve">, meglio conosciute con l'acronimo </w:t>
            </w:r>
            <w:r w:rsidRPr="006F05DD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VLT </w:t>
            </w:r>
            <w:r w:rsidRPr="006F05DD">
              <w:rPr>
                <w:color w:val="auto"/>
                <w:sz w:val="20"/>
                <w:szCs w:val="20"/>
                <w:u w:val="none"/>
              </w:rPr>
              <w:t>(</w:t>
            </w:r>
            <w:r w:rsidRPr="006F05DD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Video </w:t>
            </w:r>
            <w:proofErr w:type="spellStart"/>
            <w:r w:rsidRPr="006F05DD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Lottery</w:t>
            </w:r>
            <w:proofErr w:type="spellEnd"/>
            <w:r w:rsidRPr="006F05DD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Terminal</w:t>
            </w:r>
            <w:r w:rsidRPr="006F05DD">
              <w:rPr>
                <w:color w:val="auto"/>
                <w:sz w:val="20"/>
                <w:szCs w:val="20"/>
                <w:u w:val="none"/>
              </w:rPr>
              <w:t>), sono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F05DD">
              <w:rPr>
                <w:color w:val="auto"/>
                <w:sz w:val="20"/>
                <w:szCs w:val="20"/>
                <w:u w:val="none"/>
              </w:rPr>
              <w:t>apparecchi da intrattenimento simili alle slot machine dalle quali si differenziano per le modalità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F05DD">
              <w:rPr>
                <w:color w:val="auto"/>
                <w:sz w:val="20"/>
                <w:szCs w:val="20"/>
                <w:u w:val="none"/>
              </w:rPr>
              <w:t>di gioco più evolute.</w:t>
            </w:r>
          </w:p>
          <w:p w14:paraId="65BA5E73" w14:textId="77777777" w:rsidR="006F05DD" w:rsidRPr="006F05DD" w:rsidRDefault="006F05DD" w:rsidP="006F05D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6F05DD">
              <w:rPr>
                <w:color w:val="auto"/>
                <w:sz w:val="20"/>
                <w:szCs w:val="20"/>
                <w:u w:val="none"/>
              </w:rPr>
              <w:t>Le VLT non presentano all'interno una scheda con il gioco residente, ma sono collegate, in tempo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F05DD">
              <w:rPr>
                <w:color w:val="auto"/>
                <w:sz w:val="20"/>
                <w:szCs w:val="20"/>
                <w:u w:val="none"/>
              </w:rPr>
              <w:t>reale, alla rete sia l'una con l'altra che ad un server centrale, presente nella sala dove sono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F05DD">
              <w:rPr>
                <w:color w:val="auto"/>
                <w:sz w:val="20"/>
                <w:szCs w:val="20"/>
                <w:u w:val="none"/>
              </w:rPr>
              <w:t>installate, che fornisce i giochi. Il server inoltre comunica costantemente con un server nazionale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F05DD">
              <w:rPr>
                <w:color w:val="auto"/>
                <w:sz w:val="20"/>
                <w:szCs w:val="20"/>
                <w:u w:val="none"/>
              </w:rPr>
              <w:t>centralizzato. Altra caratteristica peculiare delle VLT è quella di offrire sullo stesso apparecchio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F05DD">
              <w:rPr>
                <w:color w:val="auto"/>
                <w:sz w:val="20"/>
                <w:szCs w:val="20"/>
                <w:u w:val="none"/>
              </w:rPr>
              <w:t>più giochi. L'importo della puntata può variare da un minimo di €0,10 ad un massimo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F05DD">
              <w:rPr>
                <w:color w:val="auto"/>
                <w:sz w:val="20"/>
                <w:szCs w:val="20"/>
                <w:u w:val="none"/>
              </w:rPr>
              <w:t>di €10,00.</w:t>
            </w:r>
          </w:p>
          <w:p w14:paraId="39C654F1" w14:textId="77777777" w:rsidR="006F05DD" w:rsidRPr="006F05DD" w:rsidRDefault="006F05DD" w:rsidP="006F05D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6F05DD">
              <w:rPr>
                <w:color w:val="auto"/>
                <w:sz w:val="20"/>
                <w:szCs w:val="20"/>
                <w:u w:val="none"/>
              </w:rPr>
              <w:t xml:space="preserve">Le VLT offrono i pagamenti in base al calcolo del ciclo di </w:t>
            </w:r>
            <w:proofErr w:type="spellStart"/>
            <w:r w:rsidRPr="006F05DD">
              <w:rPr>
                <w:rFonts w:ascii="Arial,Italic" w:hAnsi="Arial,Italic" w:cs="Arial,Italic"/>
                <w:i/>
                <w:iCs/>
                <w:color w:val="auto"/>
                <w:sz w:val="20"/>
                <w:szCs w:val="20"/>
                <w:u w:val="none"/>
              </w:rPr>
              <w:t>Payout</w:t>
            </w:r>
            <w:proofErr w:type="spellEnd"/>
            <w:r w:rsidRPr="006F05DD">
              <w:rPr>
                <w:rFonts w:ascii="Arial,Italic" w:hAnsi="Arial,Italic" w:cs="Arial,Italic"/>
                <w:i/>
                <w:iCs/>
                <w:color w:val="auto"/>
                <w:sz w:val="20"/>
                <w:szCs w:val="20"/>
                <w:u w:val="none"/>
              </w:rPr>
              <w:t xml:space="preserve"> </w:t>
            </w:r>
            <w:r w:rsidRPr="006F05DD">
              <w:rPr>
                <w:color w:val="auto"/>
                <w:sz w:val="20"/>
                <w:szCs w:val="20"/>
                <w:u w:val="none"/>
              </w:rPr>
              <w:t>stabilito dal Concessionario su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F05DD">
              <w:rPr>
                <w:color w:val="auto"/>
                <w:sz w:val="20"/>
                <w:szCs w:val="20"/>
                <w:u w:val="none"/>
              </w:rPr>
              <w:t>base sia di sala, che di circuito, che nazionale. Le slot machine tradizionali invece pagano in base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F05DD">
              <w:rPr>
                <w:color w:val="auto"/>
                <w:sz w:val="20"/>
                <w:szCs w:val="20"/>
                <w:u w:val="none"/>
              </w:rPr>
              <w:t xml:space="preserve">al </w:t>
            </w:r>
            <w:r w:rsidRPr="006F05DD">
              <w:rPr>
                <w:rFonts w:ascii="Arial,Italic" w:hAnsi="Arial,Italic" w:cs="Arial,Italic"/>
                <w:i/>
                <w:iCs/>
                <w:color w:val="auto"/>
                <w:sz w:val="20"/>
                <w:szCs w:val="20"/>
                <w:u w:val="none"/>
              </w:rPr>
              <w:t xml:space="preserve">COIN IN </w:t>
            </w:r>
            <w:r w:rsidRPr="006F05DD">
              <w:rPr>
                <w:color w:val="auto"/>
                <w:sz w:val="20"/>
                <w:szCs w:val="20"/>
                <w:u w:val="none"/>
              </w:rPr>
              <w:t>singolo (totale monete inserite nella singola macchina).</w:t>
            </w:r>
          </w:p>
          <w:p w14:paraId="08B5825D" w14:textId="36A3D098" w:rsidR="00BF67A8" w:rsidRPr="006F05DD" w:rsidRDefault="006F05DD" w:rsidP="006F05DD">
            <w:pPr>
              <w:autoSpaceDE w:val="0"/>
              <w:autoSpaceDN w:val="0"/>
              <w:adjustRightInd w:val="0"/>
              <w:ind w:left="164" w:right="312"/>
              <w:jc w:val="both"/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6F05DD">
              <w:rPr>
                <w:color w:val="auto"/>
                <w:sz w:val="20"/>
                <w:szCs w:val="20"/>
                <w:u w:val="none"/>
              </w:rPr>
              <w:t>Le VLT per le quali il produttore prevede la presenza del Jackpot permettono la vincita del Jackpot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F05DD">
              <w:rPr>
                <w:color w:val="auto"/>
                <w:sz w:val="20"/>
                <w:szCs w:val="20"/>
                <w:u w:val="none"/>
              </w:rPr>
              <w:t>nazionale che arriva fino a €</w:t>
            </w:r>
            <w:r w:rsidR="008A4D4F"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F05DD">
              <w:rPr>
                <w:color w:val="auto"/>
                <w:sz w:val="20"/>
                <w:szCs w:val="20"/>
                <w:u w:val="none"/>
              </w:rPr>
              <w:t>500.000,00 e del Jackpot di sala fino a 100.000,00 euro; i valori in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F05DD">
              <w:rPr>
                <w:color w:val="auto"/>
                <w:sz w:val="20"/>
                <w:szCs w:val="20"/>
                <w:u w:val="none"/>
              </w:rPr>
              <w:t>tempo reale dei jackpot sono continuamente visualizzati sugli apparecchi e sui giochi ove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6F05DD">
              <w:rPr>
                <w:color w:val="auto"/>
                <w:sz w:val="20"/>
                <w:szCs w:val="20"/>
                <w:u w:val="none"/>
              </w:rPr>
              <w:t>disponibili. La partecipazione ai vari livelli di jackpot può essere subordinata alla puntata minima.</w:t>
            </w:r>
          </w:p>
          <w:p w14:paraId="3656D0F9" w14:textId="77777777" w:rsidR="006F05DD" w:rsidRDefault="006F05DD" w:rsidP="006F05DD">
            <w:pPr>
              <w:ind w:left="164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12022DD7" w14:textId="77777777" w:rsidR="008A4D4F" w:rsidRPr="00AB4C12" w:rsidRDefault="008A4D4F" w:rsidP="008A4D4F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78A54879" w14:textId="3A0D1142" w:rsidR="008A4D4F" w:rsidRPr="0031611B" w:rsidRDefault="004A1778" w:rsidP="008A4D4F">
            <w:pPr>
              <w:pStyle w:val="Paragrafoelenco"/>
              <w:numPr>
                <w:ilvl w:val="0"/>
                <w:numId w:val="24"/>
              </w:numPr>
              <w:spacing w:after="160" w:line="259" w:lineRule="auto"/>
              <w:ind w:left="589"/>
              <w:rPr>
                <w:b/>
                <w:color w:val="0000FF"/>
                <w:sz w:val="24"/>
                <w:szCs w:val="24"/>
              </w:rPr>
            </w:pPr>
            <w:hyperlink r:id="rId6" w:history="1">
              <w:r w:rsidR="008A4D4F" w:rsidRPr="00201806">
                <w:rPr>
                  <w:rStyle w:val="Collegamentoipertestuale"/>
                  <w:b/>
                  <w:sz w:val="24"/>
                  <w:szCs w:val="24"/>
                </w:rPr>
                <w:t>Programmazione economica-c</w:t>
              </w:r>
              <w:r w:rsidR="008A4D4F" w:rsidRPr="00201806">
                <w:rPr>
                  <w:rStyle w:val="Collegamentoipertestuale"/>
                  <w:b/>
                  <w:sz w:val="24"/>
                  <w:szCs w:val="24"/>
                </w:rPr>
                <w:t>o</w:t>
              </w:r>
              <w:r w:rsidR="008A4D4F" w:rsidRPr="00201806">
                <w:rPr>
                  <w:rStyle w:val="Collegamentoipertestuale"/>
                  <w:b/>
                  <w:sz w:val="24"/>
                  <w:szCs w:val="24"/>
                </w:rPr>
                <w:t>mmerciale del PGT</w:t>
              </w:r>
            </w:hyperlink>
            <w:r w:rsidR="008A4D4F">
              <w:rPr>
                <w:rStyle w:val="Collegamentoipertestuale"/>
                <w:b/>
                <w:sz w:val="24"/>
                <w:szCs w:val="24"/>
              </w:rPr>
              <w:t xml:space="preserve"> </w:t>
            </w:r>
            <w:r w:rsidR="008A4D4F" w:rsidRPr="00A41DA9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Vedi punti sensibili No Slot</w:t>
            </w:r>
          </w:p>
          <w:p w14:paraId="77DA5313" w14:textId="77777777" w:rsidR="008A4D4F" w:rsidRPr="0031611B" w:rsidRDefault="008A4D4F" w:rsidP="008A4D4F">
            <w:pPr>
              <w:pStyle w:val="Paragrafoelenco"/>
              <w:spacing w:after="120"/>
              <w:ind w:left="589"/>
              <w:rPr>
                <w:b/>
                <w:color w:val="0000FF"/>
                <w:sz w:val="12"/>
                <w:szCs w:val="12"/>
              </w:rPr>
            </w:pPr>
          </w:p>
          <w:p w14:paraId="0DB1E954" w14:textId="0767341D" w:rsidR="008A4D4F" w:rsidRPr="000A1FBF" w:rsidRDefault="008A4D4F" w:rsidP="008A4D4F">
            <w:pPr>
              <w:pStyle w:val="Paragrafoelenco"/>
              <w:numPr>
                <w:ilvl w:val="0"/>
                <w:numId w:val="24"/>
              </w:numPr>
              <w:spacing w:before="120" w:after="120" w:line="259" w:lineRule="auto"/>
              <w:ind w:left="589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201806">
              <w:rPr>
                <w:b/>
                <w:sz w:val="24"/>
                <w:szCs w:val="24"/>
              </w:rPr>
              <w:instrText>HYPERLINK "Definizioni/5PA%20Requisiti%20soggettivi.pdf"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0A1FBF">
              <w:rPr>
                <w:rStyle w:val="Collegamentoipertestuale"/>
                <w:b/>
                <w:sz w:val="24"/>
                <w:szCs w:val="24"/>
              </w:rPr>
              <w:t>Requisiti onorabilità</w:t>
            </w:r>
          </w:p>
          <w:p w14:paraId="7D5104DE" w14:textId="77777777" w:rsidR="008A4D4F" w:rsidRPr="00F73D96" w:rsidRDefault="008A4D4F" w:rsidP="008A4D4F">
            <w:pPr>
              <w:pStyle w:val="Paragrafoelenco"/>
              <w:spacing w:before="120" w:after="120"/>
              <w:ind w:left="589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08A48088" w14:textId="78CD20CF" w:rsidR="008A4D4F" w:rsidRPr="00BF67A8" w:rsidRDefault="004A1778" w:rsidP="00EE7F29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89" w:right="312"/>
              <w:jc w:val="both"/>
              <w:rPr>
                <w:rFonts w:eastAsia="Times New Roman"/>
                <w:b/>
                <w:color w:val="auto"/>
                <w:sz w:val="24"/>
                <w:szCs w:val="24"/>
                <w:u w:val="none"/>
                <w:lang w:eastAsia="it-IT"/>
              </w:rPr>
            </w:pPr>
            <w:hyperlink r:id="rId7" w:history="1">
              <w:r w:rsidR="00A93A53" w:rsidRPr="00EE7F29">
                <w:rPr>
                  <w:rStyle w:val="Collegamentoipertestuale"/>
                  <w:rFonts w:eastAsia="Times New Roman"/>
                  <w:b/>
                  <w:sz w:val="24"/>
                  <w:szCs w:val="24"/>
                  <w:lang w:eastAsia="it-IT"/>
                </w:rPr>
                <w:t>Requisiti</w:t>
              </w:r>
              <w:r w:rsidR="008A4D4F" w:rsidRPr="00EE7F29">
                <w:rPr>
                  <w:rStyle w:val="Collegamentoipertestuale"/>
                  <w:rFonts w:eastAsia="Times New Roman"/>
                  <w:b/>
                  <w:sz w:val="24"/>
                  <w:szCs w:val="24"/>
                  <w:lang w:eastAsia="it-IT"/>
                </w:rPr>
                <w:t xml:space="preserve"> professionali</w:t>
              </w:r>
            </w:hyperlink>
            <w:r w:rsidR="008A4D4F" w:rsidRPr="00746DE6">
              <w:rPr>
                <w:rFonts w:eastAsia="Times New Roman"/>
                <w:b/>
                <w:color w:val="FF0000"/>
                <w:sz w:val="24"/>
                <w:szCs w:val="24"/>
                <w:u w:val="none"/>
                <w:lang w:eastAsia="it-IT"/>
              </w:rPr>
              <w:t xml:space="preserve"> </w:t>
            </w:r>
          </w:p>
          <w:p w14:paraId="77ABA816" w14:textId="77777777" w:rsidR="00EE7F29" w:rsidRPr="00EE7F29" w:rsidRDefault="00EE7F29" w:rsidP="00EE7F29">
            <w:pPr>
              <w:pStyle w:val="Paragrafoelenco"/>
              <w:spacing w:after="120"/>
              <w:ind w:left="589"/>
              <w:rPr>
                <w:rFonts w:eastAsia="Times New Roman"/>
                <w:b/>
                <w:color w:val="0000FF"/>
                <w:sz w:val="12"/>
                <w:szCs w:val="12"/>
                <w:lang w:eastAsia="it-IT"/>
              </w:rPr>
            </w:pPr>
          </w:p>
          <w:p w14:paraId="29E39183" w14:textId="5062C1A5" w:rsidR="008A4D4F" w:rsidRPr="00746DE6" w:rsidRDefault="008A4D4F" w:rsidP="008A4D4F">
            <w:pPr>
              <w:pStyle w:val="Paragrafoelenco"/>
              <w:numPr>
                <w:ilvl w:val="0"/>
                <w:numId w:val="24"/>
              </w:numPr>
              <w:spacing w:after="120"/>
              <w:ind w:left="589"/>
              <w:rPr>
                <w:rStyle w:val="Collegamentoipertestuale"/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begin"/>
            </w:r>
            <w:r w:rsidR="00201806">
              <w:rPr>
                <w:rFonts w:eastAsia="Times New Roman"/>
                <w:b/>
                <w:sz w:val="24"/>
                <w:szCs w:val="24"/>
                <w:lang w:eastAsia="it-IT"/>
              </w:rPr>
              <w:instrText>HYPERLINK "Definizioni/13PA%20Destinazione%20uso.pdf"</w:instrTex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separate"/>
            </w:r>
            <w:r w:rsidRPr="00746DE6">
              <w:rPr>
                <w:rStyle w:val="Collegamentoipertestuale"/>
                <w:rFonts w:eastAsia="Times New Roman"/>
                <w:b/>
                <w:sz w:val="24"/>
                <w:szCs w:val="24"/>
                <w:lang w:eastAsia="it-IT"/>
              </w:rPr>
              <w:t>Requisiti oggettivi</w:t>
            </w:r>
          </w:p>
          <w:p w14:paraId="1A521998" w14:textId="77777777" w:rsidR="008A4D4F" w:rsidRPr="00746DE6" w:rsidRDefault="008A4D4F" w:rsidP="008A4D4F">
            <w:pPr>
              <w:pStyle w:val="Paragrafoelenco"/>
              <w:spacing w:line="259" w:lineRule="auto"/>
              <w:ind w:left="589"/>
              <w:rPr>
                <w:b/>
                <w:bCs/>
                <w:color w:val="0000FF"/>
                <w:sz w:val="12"/>
                <w:szCs w:val="12"/>
                <w:u w:val="none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end"/>
            </w:r>
          </w:p>
          <w:p w14:paraId="2004FF72" w14:textId="701F0EBA" w:rsidR="008A4D4F" w:rsidRDefault="008A4D4F" w:rsidP="0083419C">
            <w:pPr>
              <w:pStyle w:val="Paragrafoelenco"/>
              <w:numPr>
                <w:ilvl w:val="0"/>
                <w:numId w:val="24"/>
              </w:numPr>
              <w:spacing w:after="120"/>
              <w:ind w:left="589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8A4D4F">
              <w:rPr>
                <w:rStyle w:val="Collegamentoipertestuale"/>
                <w:rFonts w:eastAsia="Times New Roman"/>
                <w:b/>
                <w:color w:val="C00000"/>
                <w:sz w:val="24"/>
                <w:szCs w:val="24"/>
                <w:u w:val="none"/>
                <w:lang w:eastAsia="it-IT"/>
              </w:rPr>
              <w:t xml:space="preserve">Modalità d’esercizio </w:t>
            </w:r>
            <w:r w:rsidRPr="008A4D4F">
              <w:rPr>
                <w:rStyle w:val="Collegamentoipertestuale"/>
                <w:rFonts w:eastAsia="Times New Roman"/>
                <w:color w:val="C00000"/>
                <w:sz w:val="24"/>
                <w:szCs w:val="24"/>
                <w:u w:val="none"/>
                <w:lang w:eastAsia="it-IT"/>
              </w:rPr>
              <w:t xml:space="preserve">- </w:t>
            </w:r>
            <w:r w:rsidRPr="008A4D4F">
              <w:rPr>
                <w:color w:val="auto"/>
                <w:sz w:val="20"/>
                <w:szCs w:val="20"/>
                <w:u w:val="none"/>
              </w:rPr>
              <w:t xml:space="preserve">Per l’installazione degli apparecchi per il gioco d’azzardo di cui all’articolo 110, 6° comma, lettera b), del TULPS, </w:t>
            </w:r>
            <w:r w:rsidRPr="008A4D4F">
              <w:rPr>
                <w:b/>
                <w:color w:val="auto"/>
                <w:sz w:val="20"/>
                <w:szCs w:val="20"/>
                <w:u w:val="none"/>
              </w:rPr>
              <w:t>denominati VLT,</w:t>
            </w:r>
            <w:r w:rsidRPr="008A4D4F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è necessario possedere l’</w:t>
            </w:r>
            <w:r w:rsidRPr="008A4D4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autorizzazione </w:t>
            </w:r>
            <w:r w:rsidRPr="008A4D4F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rilasciata dal Questore ai sensi dell’art. 88 del TULPS.</w:t>
            </w:r>
          </w:p>
          <w:p w14:paraId="7284F805" w14:textId="77777777" w:rsidR="008A4D4F" w:rsidRPr="008A4D4F" w:rsidRDefault="008A4D4F" w:rsidP="008A4D4F">
            <w:pPr>
              <w:pStyle w:val="Paragrafoelenco"/>
              <w:spacing w:after="120"/>
              <w:ind w:left="589" w:right="312"/>
              <w:jc w:val="both"/>
              <w:rPr>
                <w:rFonts w:eastAsia="Times New Roman"/>
                <w:color w:val="auto"/>
                <w:sz w:val="12"/>
                <w:szCs w:val="12"/>
                <w:u w:val="none"/>
                <w:lang w:eastAsia="it-IT"/>
              </w:rPr>
            </w:pPr>
          </w:p>
          <w:p w14:paraId="7AC86B70" w14:textId="18B9FD12" w:rsidR="008A4D4F" w:rsidRPr="00201806" w:rsidRDefault="00201806" w:rsidP="008A4D4F">
            <w:pPr>
              <w:pStyle w:val="Paragrafoelenco"/>
              <w:numPr>
                <w:ilvl w:val="0"/>
                <w:numId w:val="24"/>
              </w:numPr>
              <w:spacing w:after="120"/>
              <w:ind w:left="589"/>
              <w:jc w:val="both"/>
              <w:rPr>
                <w:rStyle w:val="Collegamentoipertestuale"/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begin"/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instrText xml:space="preserve"> HYPERLINK "Definizioni/18PA%20Prescrizioni%20giochi%20leciti%20d'azzardo.pdf" </w:instrTex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separate"/>
            </w:r>
            <w:r w:rsidR="008A4D4F" w:rsidRPr="00201806">
              <w:rPr>
                <w:rStyle w:val="Collegamentoipertestuale"/>
                <w:rFonts w:eastAsia="Times New Roman"/>
                <w:b/>
                <w:sz w:val="24"/>
                <w:szCs w:val="24"/>
                <w:lang w:eastAsia="it-IT"/>
              </w:rPr>
              <w:t>Prescrizioni</w:t>
            </w:r>
          </w:p>
          <w:p w14:paraId="75CE9C46" w14:textId="13A16EAB" w:rsidR="008A4D4F" w:rsidRPr="007E3A8E" w:rsidRDefault="00201806" w:rsidP="008A4D4F">
            <w:pPr>
              <w:pStyle w:val="Paragrafoelenco"/>
              <w:spacing w:after="120"/>
              <w:ind w:left="589"/>
              <w:jc w:val="both"/>
              <w:rPr>
                <w:rFonts w:eastAsia="Times New Roman"/>
                <w:b/>
                <w:color w:val="C00000"/>
                <w:sz w:val="12"/>
                <w:szCs w:val="12"/>
                <w:u w:val="none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end"/>
            </w:r>
          </w:p>
          <w:p w14:paraId="124E1B8C" w14:textId="3D53C440" w:rsidR="008A4D4F" w:rsidRPr="00650FBE" w:rsidRDefault="004A1778" w:rsidP="008A4D4F">
            <w:pPr>
              <w:pStyle w:val="Paragrafoelenco"/>
              <w:numPr>
                <w:ilvl w:val="0"/>
                <w:numId w:val="24"/>
              </w:numPr>
              <w:spacing w:line="259" w:lineRule="auto"/>
              <w:ind w:left="589"/>
              <w:rPr>
                <w:rStyle w:val="Collegamentoipertestuale"/>
                <w:b/>
                <w:bCs/>
                <w:sz w:val="24"/>
                <w:szCs w:val="24"/>
                <w:u w:val="none"/>
              </w:rPr>
            </w:pPr>
            <w:hyperlink r:id="rId8" w:history="1">
              <w:r w:rsidR="008A4D4F" w:rsidRPr="00F73D96">
                <w:rPr>
                  <w:rStyle w:val="Collegamentoipertestuale"/>
                  <w:b/>
                  <w:bCs/>
                  <w:sz w:val="24"/>
                  <w:szCs w:val="24"/>
                </w:rPr>
                <w:t>Preven</w:t>
              </w:r>
              <w:r w:rsidR="008A4D4F" w:rsidRPr="00F73D96">
                <w:rPr>
                  <w:rStyle w:val="Collegamentoipertestuale"/>
                  <w:b/>
                  <w:bCs/>
                  <w:sz w:val="24"/>
                  <w:szCs w:val="24"/>
                </w:rPr>
                <w:t>z</w:t>
              </w:r>
              <w:r w:rsidR="008A4D4F" w:rsidRPr="00F73D96">
                <w:rPr>
                  <w:rStyle w:val="Collegamentoipertestuale"/>
                  <w:b/>
                  <w:bCs/>
                  <w:sz w:val="24"/>
                  <w:szCs w:val="24"/>
                </w:rPr>
                <w:t>ione incendi</w:t>
              </w:r>
            </w:hyperlink>
          </w:p>
          <w:p w14:paraId="2A7CD476" w14:textId="77777777" w:rsidR="00EE7F29" w:rsidRPr="00EE7F29" w:rsidRDefault="00EE7F29" w:rsidP="00EE7F29">
            <w:pPr>
              <w:pStyle w:val="Paragrafoelenco"/>
              <w:spacing w:after="160" w:line="259" w:lineRule="auto"/>
              <w:ind w:left="589" w:right="170"/>
              <w:jc w:val="both"/>
              <w:rPr>
                <w:rStyle w:val="Collegamentoipertestuale"/>
                <w:bCs/>
                <w:color w:val="auto"/>
                <w:sz w:val="12"/>
                <w:szCs w:val="12"/>
                <w:u w:val="none"/>
              </w:rPr>
            </w:pPr>
          </w:p>
          <w:p w14:paraId="49FFE32E" w14:textId="17581DD3" w:rsidR="00EE7F29" w:rsidRPr="00F73D96" w:rsidRDefault="00EE7F29" w:rsidP="00EE7F29">
            <w:pPr>
              <w:pStyle w:val="Paragrafoelenco"/>
              <w:numPr>
                <w:ilvl w:val="0"/>
                <w:numId w:val="24"/>
              </w:numPr>
              <w:spacing w:line="259" w:lineRule="auto"/>
              <w:ind w:left="589" w:right="170"/>
              <w:jc w:val="both"/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</w:pPr>
            <w:r w:rsidRPr="00F73D9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Compila il modulo di dichiarazione di osservanza delle disposizioni di Settore e della programmazione economica-commerciale del PGT – </w:t>
            </w:r>
            <w:hyperlink r:id="rId9" w:history="1">
              <w:r w:rsidRPr="00F73D96">
                <w:rPr>
                  <w:rStyle w:val="Collegamentoipertestuale"/>
                  <w:b/>
                  <w:sz w:val="20"/>
                  <w:szCs w:val="20"/>
                </w:rPr>
                <w:t>Modulo</w:t>
              </w:r>
            </w:hyperlink>
          </w:p>
          <w:p w14:paraId="1C309A26" w14:textId="77777777" w:rsidR="008A4D4F" w:rsidRPr="008A4D4F" w:rsidRDefault="008A4D4F" w:rsidP="008A4D4F">
            <w:pPr>
              <w:ind w:left="164" w:right="312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</w:p>
          <w:p w14:paraId="57902340" w14:textId="39D42F8A" w:rsidR="00651349" w:rsidRPr="008A4D4F" w:rsidRDefault="002B6C24" w:rsidP="00EC548A">
            <w:pPr>
              <w:spacing w:after="120"/>
              <w:ind w:left="164" w:right="312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r w:rsidRPr="008A4D4F">
              <w:rPr>
                <w:rFonts w:eastAsia="Times New Roman"/>
                <w:b/>
                <w:color w:val="C00000"/>
                <w:u w:val="none"/>
                <w:lang w:eastAsia="it-IT"/>
              </w:rPr>
              <w:t>Presentazione pratica</w:t>
            </w:r>
          </w:p>
          <w:p w14:paraId="4FA5235E" w14:textId="77777777" w:rsidR="00EC548A" w:rsidRPr="00EC548A" w:rsidRDefault="00EC548A" w:rsidP="0080569E">
            <w:pPr>
              <w:spacing w:after="120"/>
              <w:ind w:left="164" w:right="312"/>
              <w:jc w:val="both"/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EC548A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>Per installare delle VLT di cui all’articolo 110, 6° comma, lettera b), del TULPS, si deve ottenere l’apposita licenza, prevista dall’art. 88 dello stesso TULPS.</w:t>
            </w:r>
          </w:p>
          <w:p w14:paraId="0D4AB42E" w14:textId="74D2A539" w:rsidR="00EC548A" w:rsidRPr="00EC548A" w:rsidRDefault="00EC548A" w:rsidP="0080569E">
            <w:pPr>
              <w:spacing w:after="120"/>
              <w:ind w:left="164" w:right="312"/>
              <w:jc w:val="both"/>
              <w:rPr>
                <w:rStyle w:val="Collegamentoipertestuale"/>
                <w:color w:val="auto"/>
                <w:sz w:val="20"/>
                <w:szCs w:val="20"/>
                <w:u w:val="none"/>
              </w:rPr>
            </w:pPr>
            <w:r w:rsidRPr="008A4D4F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Per l’ottenimento della licenza</w:t>
            </w:r>
            <w:r w:rsidRPr="008A4D4F">
              <w:rPr>
                <w:rFonts w:eastAsia="Times New Roman"/>
                <w:bCs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EC548A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non può farsi uso della SCIA, ma si deve inoltrare apposita </w:t>
            </w:r>
            <w:r w:rsidRPr="00EC548A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istanza</w:t>
            </w:r>
            <w:r w:rsidRPr="00EC548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alla Questura mediante </w:t>
            </w:r>
            <w:r w:rsidRPr="00EC548A">
              <w:rPr>
                <w:color w:val="auto"/>
                <w:sz w:val="20"/>
                <w:szCs w:val="20"/>
                <w:u w:val="none"/>
              </w:rPr>
              <w:t xml:space="preserve">lo sportello telematico </w:t>
            </w:r>
            <w:hyperlink r:id="rId10" w:history="1">
              <w:r w:rsidRPr="004A1778">
                <w:rPr>
                  <w:rStyle w:val="Collegamentoipertestuale"/>
                  <w:b/>
                  <w:sz w:val="20"/>
                  <w:szCs w:val="20"/>
                  <w:u w:val="none"/>
                </w:rPr>
                <w:t>Impresainu</w:t>
              </w:r>
              <w:r w:rsidRPr="004A1778">
                <w:rPr>
                  <w:rStyle w:val="Collegamentoipertestuale"/>
                  <w:b/>
                  <w:sz w:val="20"/>
                  <w:szCs w:val="20"/>
                  <w:u w:val="none"/>
                </w:rPr>
                <w:t>n</w:t>
              </w:r>
              <w:r w:rsidRPr="004A1778">
                <w:rPr>
                  <w:rStyle w:val="Collegamentoipertestuale"/>
                  <w:b/>
                  <w:sz w:val="20"/>
                  <w:szCs w:val="20"/>
                  <w:u w:val="none"/>
                </w:rPr>
                <w:t>giorno.gov.it</w:t>
              </w:r>
              <w:r w:rsidRPr="00EC548A">
                <w:rPr>
                  <w:rStyle w:val="Collegamentoipertestuale"/>
                  <w:b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EC548A">
                <w:rPr>
                  <w:rStyle w:val="Collegamentoipertestuale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05EEF2D3" w14:textId="3ECCEF90" w:rsidR="00EC548A" w:rsidRPr="00EC548A" w:rsidRDefault="00EC548A" w:rsidP="008A4D4F">
            <w:pPr>
              <w:spacing w:after="24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EC548A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 w:rsidR="00C32C4E">
              <w:rPr>
                <w:b/>
                <w:color w:val="auto"/>
                <w:sz w:val="20"/>
                <w:szCs w:val="20"/>
                <w:u w:val="none"/>
              </w:rPr>
              <w:t>Intrattenimento, Divertimento, Attività artistiche e Sportive</w:t>
            </w:r>
            <w:r w:rsidR="008A4D4F">
              <w:rPr>
                <w:b/>
                <w:color w:val="auto"/>
                <w:sz w:val="20"/>
                <w:szCs w:val="20"/>
                <w:u w:val="none"/>
              </w:rPr>
              <w:t xml:space="preserve"> (Ateco da 90 a 93)</w:t>
            </w:r>
            <w:r w:rsidRPr="00EC548A"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 w:rsidR="00C32C4E">
              <w:rPr>
                <w:b/>
                <w:color w:val="auto"/>
                <w:sz w:val="20"/>
                <w:szCs w:val="20"/>
                <w:u w:val="none"/>
              </w:rPr>
              <w:t xml:space="preserve">Lotterie, Scommesse, Case da gioco + </w:t>
            </w:r>
            <w:r w:rsidRPr="00EC548A">
              <w:rPr>
                <w:b/>
                <w:color w:val="auto"/>
                <w:sz w:val="20"/>
                <w:szCs w:val="20"/>
                <w:u w:val="none"/>
              </w:rPr>
              <w:t xml:space="preserve">Giochi leciti, sale bingo, scommesse, videolottery e/o installazione di new slot e apparecchi da divertimento e intrattenimento, </w:t>
            </w:r>
            <w:r w:rsidRPr="00EC548A">
              <w:rPr>
                <w:color w:val="auto"/>
                <w:sz w:val="20"/>
                <w:szCs w:val="20"/>
                <w:u w:val="none"/>
              </w:rPr>
              <w:t>quindi digitare</w:t>
            </w:r>
            <w:r w:rsidRPr="00EC548A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EC548A">
              <w:rPr>
                <w:color w:val="auto"/>
                <w:sz w:val="20"/>
                <w:szCs w:val="20"/>
                <w:u w:val="none"/>
              </w:rPr>
              <w:t>conferma e procedere</w:t>
            </w:r>
            <w:r w:rsidRPr="00EC548A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EC548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Pr="00EC548A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Avvio, gestione, cessazione attività +</w:t>
            </w:r>
            <w:hyperlink r:id="rId11" w:tooltip="Nasconde/Visualizza il dettaglio dell'intervento" w:history="1">
              <w:r w:rsidRPr="00EC548A">
                <w:rPr>
                  <w:b/>
                  <w:bCs/>
                  <w:color w:val="auto"/>
                  <w:sz w:val="20"/>
                  <w:szCs w:val="20"/>
                  <w:u w:val="none"/>
                </w:rPr>
                <w:t xml:space="preserve"> Domanda di autorizzazione per l’installazione di sistemi di gioco videolottery (VLT)</w:t>
              </w:r>
              <w:r w:rsidRPr="00EC548A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518344DB" w14:textId="77777777" w:rsidR="008A4D4F" w:rsidRPr="0056509F" w:rsidRDefault="008A4D4F" w:rsidP="008A4D4F">
            <w:pPr>
              <w:spacing w:before="240" w:after="240"/>
              <w:ind w:left="164" w:right="312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16697F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 -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La stessa procedura 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: </w:t>
            </w: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Trasferimento all’interno del territorio comunale -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Modifica locali o impianti –Cambio sede legale – Modifiche societarie – Cambio amministratore delegato – Cambio soci –</w:t>
            </w:r>
            <w:hyperlink r:id="rId12" w:history="1"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 Affido </w:t>
              </w:r>
              <w:r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g</w:t>
              </w:r>
              <w:r w:rsidRPr="0016697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estione</w:t>
              </w:r>
              <w:r w:rsidRPr="0016697F">
                <w:rPr>
                  <w:rStyle w:val="Collegamentoipertestuale"/>
                  <w:u w:val="none"/>
                </w:rPr>
                <w:t xml:space="preserve"> </w:t>
              </w:r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di reparto </w:t>
              </w:r>
              <w:r w:rsidRPr="0056509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 relativa cessazione</w:t>
              </w:r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.</w:t>
              </w:r>
            </w:hyperlink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33F5543C" w14:textId="77777777" w:rsidR="008A4D4F" w:rsidRDefault="008A4D4F" w:rsidP="008A4D4F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6697F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 -</w:t>
            </w:r>
            <w:r w:rsidRPr="00CD592E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Analoga procedura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cessazione o </w:t>
            </w:r>
            <w:hyperlink r:id="rId13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dell'attività e ripresa dopo la sospensione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 Le comunicazioni inerenti alla cessazione dell’attività devono essere comunicate, entro sette giorni dall’evento.</w:t>
            </w:r>
          </w:p>
          <w:p w14:paraId="03249609" w14:textId="17FFA497" w:rsidR="0052347D" w:rsidRDefault="0052347D" w:rsidP="002B4362">
            <w:pPr>
              <w:ind w:right="312"/>
              <w:jc w:val="both"/>
              <w:rPr>
                <w:rFonts w:eastAsia="Times New Roman"/>
                <w:b/>
                <w:color w:val="FF0000"/>
                <w:sz w:val="20"/>
                <w:szCs w:val="20"/>
                <w:lang w:eastAsia="it-IT"/>
              </w:rPr>
            </w:pPr>
          </w:p>
          <w:p w14:paraId="455A0661" w14:textId="29B382B1" w:rsidR="00EE7F29" w:rsidRDefault="00EE7F29" w:rsidP="002B4362">
            <w:pPr>
              <w:ind w:right="312"/>
              <w:jc w:val="both"/>
              <w:rPr>
                <w:rFonts w:eastAsia="Times New Roman"/>
                <w:b/>
                <w:color w:val="FF0000"/>
                <w:sz w:val="20"/>
                <w:szCs w:val="20"/>
                <w:lang w:eastAsia="it-IT"/>
              </w:rPr>
            </w:pPr>
          </w:p>
          <w:p w14:paraId="66A996C4" w14:textId="1309CE93" w:rsidR="00EE7F29" w:rsidRDefault="00EE7F29" w:rsidP="002B4362">
            <w:pPr>
              <w:ind w:right="312"/>
              <w:jc w:val="both"/>
              <w:rPr>
                <w:rFonts w:eastAsia="Times New Roman"/>
                <w:b/>
                <w:color w:val="FF0000"/>
                <w:sz w:val="20"/>
                <w:szCs w:val="20"/>
                <w:lang w:eastAsia="it-IT"/>
              </w:rPr>
            </w:pPr>
          </w:p>
          <w:p w14:paraId="7A468A0E" w14:textId="77777777" w:rsidR="00EE7F29" w:rsidRDefault="00EE7F29" w:rsidP="002B4362">
            <w:pPr>
              <w:ind w:right="312"/>
              <w:jc w:val="both"/>
              <w:rPr>
                <w:rFonts w:eastAsia="Times New Roman"/>
                <w:b/>
                <w:color w:val="FF0000"/>
                <w:sz w:val="20"/>
                <w:szCs w:val="20"/>
                <w:lang w:eastAsia="it-IT"/>
              </w:rPr>
            </w:pPr>
          </w:p>
          <w:p w14:paraId="2D9C9AA2" w14:textId="77777777" w:rsidR="00EC548A" w:rsidRPr="00EC548A" w:rsidRDefault="00EC548A" w:rsidP="00EC548A">
            <w:pPr>
              <w:spacing w:after="120"/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EC548A">
              <w:rPr>
                <w:color w:val="auto"/>
                <w:sz w:val="20"/>
                <w:szCs w:val="20"/>
                <w:u w:val="none"/>
              </w:rPr>
              <w:t xml:space="preserve">L’istanza può essere presentata direttamente alla </w:t>
            </w:r>
            <w:hyperlink r:id="rId14" w:history="1">
              <w:r w:rsidRPr="00EC548A">
                <w:rPr>
                  <w:rStyle w:val="Collegamentoipertestuale"/>
                  <w:b/>
                  <w:sz w:val="20"/>
                  <w:szCs w:val="20"/>
                  <w:u w:val="none"/>
                </w:rPr>
                <w:t>Polizia di Stato</w:t>
              </w:r>
            </w:hyperlink>
            <w:r w:rsidRPr="00EC548A">
              <w:rPr>
                <w:b/>
                <w:color w:val="0000FF"/>
                <w:sz w:val="20"/>
                <w:szCs w:val="20"/>
                <w:u w:val="none"/>
              </w:rPr>
              <w:t xml:space="preserve"> </w:t>
            </w:r>
            <w:r w:rsidRPr="00EC548A">
              <w:rPr>
                <w:color w:val="auto"/>
                <w:sz w:val="20"/>
                <w:szCs w:val="20"/>
                <w:u w:val="none"/>
              </w:rPr>
              <w:t>utilizzando la seguente modulistica:</w:t>
            </w:r>
            <w:r w:rsidRPr="00EC548A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6BE4F7A4" w14:textId="77777777" w:rsidR="00EC548A" w:rsidRPr="00EC548A" w:rsidRDefault="004A1778" w:rsidP="00EC548A">
            <w:pPr>
              <w:spacing w:after="120"/>
              <w:ind w:left="164" w:right="312"/>
              <w:jc w:val="both"/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</w:pPr>
            <w:hyperlink r:id="rId15" w:history="1">
              <w:r w:rsidR="00EC548A" w:rsidRPr="00EC548A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Modulo Questura richiesta VLT</w:t>
              </w:r>
            </w:hyperlink>
          </w:p>
          <w:p w14:paraId="49FD47A9" w14:textId="77777777" w:rsidR="00EC548A" w:rsidRPr="00EC548A" w:rsidRDefault="004A1778" w:rsidP="00EC548A">
            <w:pPr>
              <w:spacing w:after="120"/>
              <w:ind w:left="164" w:right="312"/>
              <w:jc w:val="both"/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</w:pPr>
            <w:hyperlink r:id="rId16" w:history="1">
              <w:r w:rsidR="00EC548A" w:rsidRPr="00EC548A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Rappresentanza VLT</w:t>
              </w:r>
            </w:hyperlink>
          </w:p>
          <w:p w14:paraId="14B30C9E" w14:textId="77777777" w:rsidR="00EC548A" w:rsidRPr="00EC548A" w:rsidRDefault="004A1778" w:rsidP="00093B19">
            <w:pPr>
              <w:ind w:left="164" w:right="312"/>
              <w:jc w:val="both"/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</w:pPr>
            <w:hyperlink r:id="rId17" w:history="1">
              <w:r w:rsidR="00EC548A" w:rsidRPr="00EC548A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Rimozione o nuova rappresentanza</w:t>
              </w:r>
            </w:hyperlink>
          </w:p>
          <w:p w14:paraId="4C470D13" w14:textId="77777777" w:rsidR="002B4362" w:rsidRDefault="002B4362" w:rsidP="0010315F">
            <w:pPr>
              <w:ind w:left="164" w:right="312"/>
              <w:jc w:val="both"/>
            </w:pPr>
          </w:p>
          <w:p w14:paraId="3A09C68F" w14:textId="3CC12236" w:rsidR="00EE7F29" w:rsidRPr="00EE7F29" w:rsidRDefault="004A1778" w:rsidP="002B4362">
            <w:pPr>
              <w:ind w:left="164" w:right="312"/>
              <w:jc w:val="both"/>
              <w:rPr>
                <w:b/>
                <w:bCs/>
              </w:rPr>
            </w:pPr>
            <w:hyperlink r:id="rId18" w:history="1">
              <w:r w:rsidR="00EE7F29" w:rsidRPr="00EE7F29">
                <w:rPr>
                  <w:rStyle w:val="Collegamentoipertestuale"/>
                  <w:b/>
                  <w:bCs/>
                </w:rPr>
                <w:t>Allegati</w:t>
              </w:r>
            </w:hyperlink>
          </w:p>
          <w:p w14:paraId="3343AFF0" w14:textId="77777777" w:rsidR="00EE7F29" w:rsidRDefault="00EE7F29" w:rsidP="002B4362">
            <w:pPr>
              <w:ind w:left="164" w:right="312"/>
              <w:jc w:val="both"/>
            </w:pPr>
          </w:p>
          <w:p w14:paraId="5CCD6346" w14:textId="584A3E45" w:rsidR="002B4362" w:rsidRPr="00744B7C" w:rsidRDefault="004A1778" w:rsidP="002B4362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9" w:history="1">
              <w:r w:rsidR="002B4362" w:rsidRPr="001A1018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ATECO</w:t>
              </w:r>
            </w:hyperlink>
            <w:r w:rsidR="002B4362" w:rsidRPr="0016697F">
              <w:rPr>
                <w:rFonts w:eastAsia="Times New Roman"/>
                <w:b/>
                <w:bCs/>
                <w:iCs/>
                <w:u w:val="none"/>
                <w:lang w:eastAsia="it-IT"/>
              </w:rPr>
              <w:t xml:space="preserve"> </w:t>
            </w:r>
            <w:r w:rsidR="002B4362">
              <w:rPr>
                <w:b/>
                <w:color w:val="auto"/>
                <w:sz w:val="20"/>
                <w:szCs w:val="20"/>
                <w:u w:val="none"/>
              </w:rPr>
              <w:t>(Ateco da 90 a 93)</w:t>
            </w:r>
          </w:p>
          <w:p w14:paraId="4E66584F" w14:textId="77777777" w:rsidR="002B4362" w:rsidRDefault="002B4362" w:rsidP="002B4362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4756AD69" w14:textId="10A6A8E7" w:rsidR="002B4362" w:rsidRPr="00A960D3" w:rsidRDefault="002B4362" w:rsidP="002B4362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201806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"Definizioni/6PA%20Tariffe%20polizia%20amministrativa.docx"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</w:t>
            </w:r>
            <w:r w:rsidRPr="00A960D3">
              <w:rPr>
                <w:rStyle w:val="Collegamentoipertestuale"/>
                <w:b/>
                <w:bCs/>
              </w:rPr>
              <w:t>r</w:t>
            </w:r>
            <w:r w:rsidRPr="00A960D3">
              <w:rPr>
                <w:rStyle w:val="Collegamentoipertestuale"/>
                <w:b/>
                <w:bCs/>
              </w:rPr>
              <w:t>uttori</w:t>
            </w:r>
          </w:p>
          <w:p w14:paraId="63475F66" w14:textId="77777777" w:rsidR="002B4362" w:rsidRDefault="002B4362" w:rsidP="002B4362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4423A61E" w14:textId="77777777" w:rsidR="002B4362" w:rsidRPr="00042B0E" w:rsidRDefault="002B4362" w:rsidP="002B4362">
            <w:pPr>
              <w:ind w:left="164" w:right="312"/>
              <w:jc w:val="both"/>
              <w:rPr>
                <w:rStyle w:val="Collegamentoipertestuale"/>
                <w:b/>
                <w:bCs/>
              </w:rPr>
            </w:pPr>
          </w:p>
          <w:p w14:paraId="26A8B37A" w14:textId="19EB5863" w:rsidR="002B4362" w:rsidRPr="00FE239B" w:rsidRDefault="004A1778" w:rsidP="00EE7F29">
            <w:pPr>
              <w:pStyle w:val="Paragrafoelenco"/>
              <w:ind w:left="164" w:right="312"/>
              <w:jc w:val="both"/>
              <w:rPr>
                <w:color w:val="0000FF"/>
              </w:rPr>
            </w:pPr>
            <w:hyperlink r:id="rId20" w:history="1">
              <w:r w:rsidR="002B4362" w:rsidRPr="00FE239B">
                <w:rPr>
                  <w:rStyle w:val="Collegamentoipertestuale"/>
                  <w:b/>
                </w:rPr>
                <w:t>Tempistica</w:t>
              </w:r>
            </w:hyperlink>
            <w:r w:rsidR="002B4362" w:rsidRPr="00FE239B">
              <w:rPr>
                <w:b/>
                <w:color w:val="0000FF"/>
                <w:u w:val="none"/>
              </w:rPr>
              <w:t xml:space="preserve"> </w:t>
            </w:r>
          </w:p>
          <w:p w14:paraId="30FA1C59" w14:textId="77777777" w:rsidR="002B4362" w:rsidRDefault="002B4362" w:rsidP="002B4362">
            <w:pPr>
              <w:pStyle w:val="Rientrocorpodeltesto"/>
              <w:spacing w:after="0"/>
              <w:ind w:left="164"/>
              <w:jc w:val="both"/>
            </w:pPr>
          </w:p>
          <w:p w14:paraId="2C7502BA" w14:textId="77777777" w:rsidR="00CD031B" w:rsidRPr="00945B26" w:rsidRDefault="004A1778" w:rsidP="00CD031B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21" w:history="1">
              <w:r w:rsidR="002B4362" w:rsidRPr="00B8144D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2B4362" w:rsidRPr="00B8144D">
              <w:rPr>
                <w:rStyle w:val="Collegamentoipertestuale"/>
                <w:b/>
                <w:color w:val="C00000"/>
                <w:u w:val="none"/>
              </w:rPr>
              <w:t>:</w:t>
            </w:r>
            <w:r w:rsidR="002B4362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2B4362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2B4362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22" w:history="1">
              <w:r w:rsidR="00CD031B" w:rsidRPr="00B87B85">
                <w:rPr>
                  <w:rStyle w:val="Collegamentoipertestuale"/>
                  <w:b/>
                  <w:sz w:val="20"/>
                  <w:szCs w:val="20"/>
                </w:rPr>
                <w:t>TUR parte 5^</w:t>
              </w:r>
            </w:hyperlink>
            <w:r w:rsidR="00CD031B" w:rsidRPr="00945B26">
              <w:rPr>
                <w:color w:val="0000FF"/>
                <w:sz w:val="20"/>
                <w:szCs w:val="20"/>
              </w:rPr>
              <w:t xml:space="preserve"> </w:t>
            </w:r>
            <w:r w:rsidR="00CD031B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CD031B">
              <w:rPr>
                <w:color w:val="auto"/>
                <w:sz w:val="20"/>
                <w:szCs w:val="20"/>
                <w:u w:val="none"/>
              </w:rPr>
              <w:t>Polizia amministrativa</w:t>
            </w:r>
          </w:p>
          <w:p w14:paraId="543067C3" w14:textId="77777777" w:rsidR="002B4362" w:rsidRPr="00D84657" w:rsidRDefault="002B4362" w:rsidP="002B4362">
            <w:pPr>
              <w:pStyle w:val="Paragrafoelenco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60097EBA" w14:textId="77777777" w:rsidR="002B4362" w:rsidRDefault="002B4362" w:rsidP="002B4362">
            <w:pPr>
              <w:spacing w:after="120"/>
              <w:ind w:left="164"/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</w:pPr>
            <w:r w:rsidRPr="00B8144D">
              <w:rPr>
                <w:b/>
                <w:color w:val="C00000"/>
                <w:u w:val="none"/>
              </w:rPr>
              <w:t>Note:</w:t>
            </w:r>
            <w:r w:rsidRPr="00B8144D">
              <w:rPr>
                <w:color w:val="C00000"/>
              </w:rPr>
              <w:t xml:space="preserve"> </w:t>
            </w:r>
            <w:hyperlink r:id="rId23" w:history="1">
              <w:r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Testo unico di Pubblica Sicurezza</w:t>
              </w:r>
            </w:hyperlink>
          </w:p>
          <w:p w14:paraId="674F8C12" w14:textId="77777777" w:rsidR="002B4362" w:rsidRDefault="002B4362" w:rsidP="002B4362">
            <w:pPr>
              <w:spacing w:before="30"/>
              <w:ind w:left="164" w:right="312"/>
              <w:jc w:val="both"/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</w:pPr>
            <w:r w:rsidRPr="00FE239B">
              <w:rPr>
                <w:u w:val="none"/>
              </w:rPr>
              <w:t xml:space="preserve">          </w:t>
            </w:r>
            <w:hyperlink r:id="rId24" w:history="1">
              <w:r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Regolamento Testo Unico di Pubblica Sicurezza</w:t>
              </w:r>
            </w:hyperlink>
          </w:p>
          <w:p w14:paraId="71BD7AF5" w14:textId="77777777" w:rsidR="002B4362" w:rsidRDefault="002B4362" w:rsidP="002B4362">
            <w:pPr>
              <w:spacing w:before="30"/>
              <w:ind w:left="164" w:right="312"/>
              <w:jc w:val="both"/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</w:pPr>
          </w:p>
          <w:p w14:paraId="0D2302D7" w14:textId="77777777" w:rsidR="002B4362" w:rsidRDefault="002B4362" w:rsidP="002B4362">
            <w:pPr>
              <w:ind w:left="164" w:right="312"/>
              <w:jc w:val="both"/>
              <w:rPr>
                <w:rStyle w:val="Collegamentoipertestuale"/>
                <w:u w:val="none"/>
              </w:rPr>
            </w:pPr>
            <w:r w:rsidRPr="005D49AD">
              <w:rPr>
                <w:b/>
                <w:color w:val="auto"/>
                <w:sz w:val="20"/>
                <w:szCs w:val="20"/>
                <w:u w:val="none"/>
              </w:rPr>
              <w:t xml:space="preserve">Avvisi ATS da esporre presso gli esercizi pubblici che hanno installato giochi elettronici di cui all’articolo 110, 6° comma, del TULPS    </w:t>
            </w:r>
          </w:p>
          <w:p w14:paraId="1330B312" w14:textId="77777777" w:rsidR="002B4362" w:rsidRDefault="002B4362" w:rsidP="002B4362">
            <w:pPr>
              <w:autoSpaceDE w:val="0"/>
              <w:autoSpaceDN w:val="0"/>
              <w:adjustRightInd w:val="0"/>
              <w:ind w:left="731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</w:rPr>
            </w:pPr>
          </w:p>
          <w:p w14:paraId="4E527F86" w14:textId="77777777" w:rsidR="002B4362" w:rsidRDefault="004A1778" w:rsidP="002B4362">
            <w:pPr>
              <w:autoSpaceDE w:val="0"/>
              <w:autoSpaceDN w:val="0"/>
              <w:adjustRightInd w:val="0"/>
              <w:ind w:left="164" w:right="312"/>
              <w:jc w:val="both"/>
              <w:rPr>
                <w:rStyle w:val="Collegamentoipertestuale"/>
                <w:b/>
                <w:sz w:val="24"/>
                <w:szCs w:val="24"/>
              </w:rPr>
            </w:pPr>
            <w:hyperlink r:id="rId25" w:history="1">
              <w:r w:rsidR="002B4362">
                <w:rPr>
                  <w:rStyle w:val="Collegamentoipertestuale"/>
                  <w:b/>
                  <w:sz w:val="24"/>
                  <w:szCs w:val="24"/>
                </w:rPr>
                <w:t>Informativa ATS</w:t>
              </w:r>
            </w:hyperlink>
          </w:p>
          <w:p w14:paraId="4DF3042E" w14:textId="77777777" w:rsidR="002B4362" w:rsidRDefault="002B4362" w:rsidP="002B4362">
            <w:pPr>
              <w:autoSpaceDE w:val="0"/>
              <w:autoSpaceDN w:val="0"/>
              <w:adjustRightInd w:val="0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</w:rPr>
            </w:pPr>
          </w:p>
          <w:p w14:paraId="7EF44401" w14:textId="56275F78" w:rsidR="002B4362" w:rsidRPr="00CD2820" w:rsidRDefault="004A1778" w:rsidP="002B4362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color w:val="C00000"/>
                <w:sz w:val="24"/>
                <w:szCs w:val="24"/>
              </w:rPr>
            </w:pPr>
            <w:hyperlink r:id="rId26" w:history="1">
              <w:r w:rsidR="002B4362" w:rsidRPr="00CD2820">
                <w:rPr>
                  <w:rStyle w:val="Collegamentoipertestuale"/>
                  <w:b/>
                  <w:color w:val="C00000"/>
                  <w:sz w:val="24"/>
                  <w:szCs w:val="24"/>
                </w:rPr>
                <w:t>Divieto ai minori 18 anni</w:t>
              </w:r>
            </w:hyperlink>
          </w:p>
          <w:p w14:paraId="7BE1DEC2" w14:textId="77777777" w:rsidR="002B4362" w:rsidRPr="00CD2820" w:rsidRDefault="002B4362" w:rsidP="002B4362">
            <w:pPr>
              <w:autoSpaceDE w:val="0"/>
              <w:autoSpaceDN w:val="0"/>
              <w:adjustRightInd w:val="0"/>
              <w:ind w:left="731" w:right="312"/>
              <w:jc w:val="both"/>
              <w:rPr>
                <w:b/>
                <w:color w:val="C00000"/>
                <w:sz w:val="24"/>
                <w:szCs w:val="24"/>
              </w:rPr>
            </w:pPr>
          </w:p>
          <w:p w14:paraId="4CD59D8C" w14:textId="308A086F" w:rsidR="002B4362" w:rsidRDefault="004A1778" w:rsidP="002B4362">
            <w:pPr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</w:rPr>
            </w:pPr>
            <w:hyperlink r:id="rId27" w:history="1">
              <w:r w:rsidR="002B4362" w:rsidRPr="00CD2820">
                <w:rPr>
                  <w:rStyle w:val="Collegamentoipertestuale"/>
                  <w:b/>
                  <w:color w:val="C00000"/>
                  <w:sz w:val="24"/>
                  <w:szCs w:val="24"/>
                </w:rPr>
                <w:t>Divieto accesso ai minori 18 anni</w:t>
              </w:r>
            </w:hyperlink>
          </w:p>
          <w:p w14:paraId="29CF9394" w14:textId="77777777" w:rsidR="002B4362" w:rsidRDefault="002B4362" w:rsidP="002B4362">
            <w:pPr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</w:rPr>
            </w:pPr>
          </w:p>
          <w:p w14:paraId="448BEBE8" w14:textId="1B5D5355" w:rsidR="00276654" w:rsidRPr="0041512A" w:rsidRDefault="00276654" w:rsidP="004A3C01">
            <w:pPr>
              <w:spacing w:after="120"/>
              <w:ind w:left="164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7F6608DA" w14:textId="77777777" w:rsidR="00342D58" w:rsidRDefault="00342D58">
      <w:pPr>
        <w:rPr>
          <w:b/>
        </w:rPr>
      </w:pPr>
    </w:p>
    <w:p w14:paraId="086EA2C3" w14:textId="77777777" w:rsidR="005E5880" w:rsidRPr="00342D58" w:rsidRDefault="005E5880">
      <w:pPr>
        <w:rPr>
          <w:b/>
        </w:rPr>
      </w:pPr>
    </w:p>
    <w:sectPr w:rsidR="005E5880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7F2E"/>
    <w:multiLevelType w:val="hybridMultilevel"/>
    <w:tmpl w:val="966E9B62"/>
    <w:lvl w:ilvl="0" w:tplc="19D8E4A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C0103"/>
    <w:multiLevelType w:val="multilevel"/>
    <w:tmpl w:val="0EB2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135F53FF"/>
    <w:multiLevelType w:val="multilevel"/>
    <w:tmpl w:val="319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D16CD"/>
    <w:multiLevelType w:val="multilevel"/>
    <w:tmpl w:val="DAC8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D71C9"/>
    <w:multiLevelType w:val="multilevel"/>
    <w:tmpl w:val="080E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0B349C"/>
    <w:multiLevelType w:val="multilevel"/>
    <w:tmpl w:val="F432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AF0050"/>
    <w:multiLevelType w:val="multilevel"/>
    <w:tmpl w:val="40AC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BA04C1"/>
    <w:multiLevelType w:val="hybridMultilevel"/>
    <w:tmpl w:val="06A42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0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1" w15:restartNumberingAfterBreak="0">
    <w:nsid w:val="36D721AF"/>
    <w:multiLevelType w:val="hybridMultilevel"/>
    <w:tmpl w:val="B7DE5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E517E"/>
    <w:multiLevelType w:val="hybridMultilevel"/>
    <w:tmpl w:val="E454F178"/>
    <w:lvl w:ilvl="0" w:tplc="46B876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FC7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F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2A2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01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84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CE8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00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746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B95D8A"/>
    <w:multiLevelType w:val="multilevel"/>
    <w:tmpl w:val="636C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61AE5"/>
    <w:multiLevelType w:val="multilevel"/>
    <w:tmpl w:val="D3F8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11023F"/>
    <w:multiLevelType w:val="hybridMultilevel"/>
    <w:tmpl w:val="2834954E"/>
    <w:lvl w:ilvl="0" w:tplc="B91053B8">
      <w:start w:val="1"/>
      <w:numFmt w:val="decimal"/>
      <w:lvlText w:val="%1."/>
      <w:lvlJc w:val="left"/>
      <w:pPr>
        <w:ind w:left="884" w:hanging="360"/>
      </w:pPr>
      <w:rPr>
        <w:color w:val="0000FF"/>
      </w:rPr>
    </w:lvl>
    <w:lvl w:ilvl="1" w:tplc="04100019" w:tentative="1">
      <w:start w:val="1"/>
      <w:numFmt w:val="lowerLetter"/>
      <w:lvlText w:val="%2."/>
      <w:lvlJc w:val="left"/>
      <w:pPr>
        <w:ind w:left="1604" w:hanging="360"/>
      </w:pPr>
    </w:lvl>
    <w:lvl w:ilvl="2" w:tplc="0410001B" w:tentative="1">
      <w:start w:val="1"/>
      <w:numFmt w:val="lowerRoman"/>
      <w:lvlText w:val="%3."/>
      <w:lvlJc w:val="right"/>
      <w:pPr>
        <w:ind w:left="2324" w:hanging="180"/>
      </w:pPr>
    </w:lvl>
    <w:lvl w:ilvl="3" w:tplc="0410000F" w:tentative="1">
      <w:start w:val="1"/>
      <w:numFmt w:val="decimal"/>
      <w:lvlText w:val="%4."/>
      <w:lvlJc w:val="left"/>
      <w:pPr>
        <w:ind w:left="3044" w:hanging="360"/>
      </w:pPr>
    </w:lvl>
    <w:lvl w:ilvl="4" w:tplc="04100019" w:tentative="1">
      <w:start w:val="1"/>
      <w:numFmt w:val="lowerLetter"/>
      <w:lvlText w:val="%5."/>
      <w:lvlJc w:val="left"/>
      <w:pPr>
        <w:ind w:left="3764" w:hanging="360"/>
      </w:pPr>
    </w:lvl>
    <w:lvl w:ilvl="5" w:tplc="0410001B" w:tentative="1">
      <w:start w:val="1"/>
      <w:numFmt w:val="lowerRoman"/>
      <w:lvlText w:val="%6."/>
      <w:lvlJc w:val="right"/>
      <w:pPr>
        <w:ind w:left="4484" w:hanging="180"/>
      </w:pPr>
    </w:lvl>
    <w:lvl w:ilvl="6" w:tplc="0410000F" w:tentative="1">
      <w:start w:val="1"/>
      <w:numFmt w:val="decimal"/>
      <w:lvlText w:val="%7."/>
      <w:lvlJc w:val="left"/>
      <w:pPr>
        <w:ind w:left="5204" w:hanging="360"/>
      </w:pPr>
    </w:lvl>
    <w:lvl w:ilvl="7" w:tplc="04100019" w:tentative="1">
      <w:start w:val="1"/>
      <w:numFmt w:val="lowerLetter"/>
      <w:lvlText w:val="%8."/>
      <w:lvlJc w:val="left"/>
      <w:pPr>
        <w:ind w:left="5924" w:hanging="360"/>
      </w:pPr>
    </w:lvl>
    <w:lvl w:ilvl="8" w:tplc="0410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7" w15:restartNumberingAfterBreak="0">
    <w:nsid w:val="62C57AAE"/>
    <w:multiLevelType w:val="multilevel"/>
    <w:tmpl w:val="5F10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B4EEE"/>
    <w:multiLevelType w:val="hybridMultilevel"/>
    <w:tmpl w:val="E454F178"/>
    <w:lvl w:ilvl="0" w:tplc="67D4C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080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849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C1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00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CE6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8F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0C3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B46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27064C"/>
    <w:multiLevelType w:val="hybridMultilevel"/>
    <w:tmpl w:val="80EAF6D8"/>
    <w:lvl w:ilvl="0" w:tplc="71369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3" w15:restartNumberingAfterBreak="0">
    <w:nsid w:val="78DF5367"/>
    <w:multiLevelType w:val="hybridMultilevel"/>
    <w:tmpl w:val="BA76D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22"/>
  </w:num>
  <w:num w:numId="5">
    <w:abstractNumId w:val="2"/>
  </w:num>
  <w:num w:numId="6">
    <w:abstractNumId w:val="19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11"/>
  </w:num>
  <w:num w:numId="12">
    <w:abstractNumId w:val="6"/>
  </w:num>
  <w:num w:numId="13">
    <w:abstractNumId w:val="1"/>
  </w:num>
  <w:num w:numId="14">
    <w:abstractNumId w:val="20"/>
  </w:num>
  <w:num w:numId="15">
    <w:abstractNumId w:val="12"/>
  </w:num>
  <w:num w:numId="16">
    <w:abstractNumId w:val="8"/>
  </w:num>
  <w:num w:numId="17">
    <w:abstractNumId w:val="23"/>
  </w:num>
  <w:num w:numId="18">
    <w:abstractNumId w:val="13"/>
  </w:num>
  <w:num w:numId="19">
    <w:abstractNumId w:val="4"/>
  </w:num>
  <w:num w:numId="20">
    <w:abstractNumId w:val="15"/>
  </w:num>
  <w:num w:numId="21">
    <w:abstractNumId w:val="17"/>
  </w:num>
  <w:num w:numId="22">
    <w:abstractNumId w:val="21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3034E"/>
    <w:rsid w:val="00043FA9"/>
    <w:rsid w:val="00044B4A"/>
    <w:rsid w:val="00071B68"/>
    <w:rsid w:val="00093B19"/>
    <w:rsid w:val="000E4B7E"/>
    <w:rsid w:val="000F3ADF"/>
    <w:rsid w:val="0010315F"/>
    <w:rsid w:val="00112873"/>
    <w:rsid w:val="00117F1E"/>
    <w:rsid w:val="0012159E"/>
    <w:rsid w:val="00142A9D"/>
    <w:rsid w:val="00182888"/>
    <w:rsid w:val="001B4E77"/>
    <w:rsid w:val="001D11CD"/>
    <w:rsid w:val="001D73AE"/>
    <w:rsid w:val="00201806"/>
    <w:rsid w:val="00220E5F"/>
    <w:rsid w:val="002210DE"/>
    <w:rsid w:val="0023487B"/>
    <w:rsid w:val="00237016"/>
    <w:rsid w:val="002706D8"/>
    <w:rsid w:val="00276654"/>
    <w:rsid w:val="00281114"/>
    <w:rsid w:val="002A4619"/>
    <w:rsid w:val="002A5D7C"/>
    <w:rsid w:val="002A6285"/>
    <w:rsid w:val="002A77E8"/>
    <w:rsid w:val="002B375D"/>
    <w:rsid w:val="002B4362"/>
    <w:rsid w:val="002B6C24"/>
    <w:rsid w:val="0031523A"/>
    <w:rsid w:val="00342D58"/>
    <w:rsid w:val="003514C2"/>
    <w:rsid w:val="003A148C"/>
    <w:rsid w:val="003A4A32"/>
    <w:rsid w:val="003C5FBA"/>
    <w:rsid w:val="003F41B0"/>
    <w:rsid w:val="0041512A"/>
    <w:rsid w:val="004257E1"/>
    <w:rsid w:val="0044342C"/>
    <w:rsid w:val="00451991"/>
    <w:rsid w:val="0045341A"/>
    <w:rsid w:val="004704B5"/>
    <w:rsid w:val="00493BD0"/>
    <w:rsid w:val="004A1778"/>
    <w:rsid w:val="004A3C01"/>
    <w:rsid w:val="004B3C68"/>
    <w:rsid w:val="004B7DB4"/>
    <w:rsid w:val="004E3766"/>
    <w:rsid w:val="004F3CF0"/>
    <w:rsid w:val="004F59C5"/>
    <w:rsid w:val="004F667B"/>
    <w:rsid w:val="00506E58"/>
    <w:rsid w:val="0052347D"/>
    <w:rsid w:val="0054090E"/>
    <w:rsid w:val="005930C1"/>
    <w:rsid w:val="005C01FD"/>
    <w:rsid w:val="005C68B2"/>
    <w:rsid w:val="005C720B"/>
    <w:rsid w:val="005E5880"/>
    <w:rsid w:val="005F1CCE"/>
    <w:rsid w:val="00621A5C"/>
    <w:rsid w:val="00621E64"/>
    <w:rsid w:val="00640813"/>
    <w:rsid w:val="00651349"/>
    <w:rsid w:val="00651378"/>
    <w:rsid w:val="00677516"/>
    <w:rsid w:val="00692827"/>
    <w:rsid w:val="00694BB5"/>
    <w:rsid w:val="00697CB5"/>
    <w:rsid w:val="006B29D2"/>
    <w:rsid w:val="006B3A13"/>
    <w:rsid w:val="006C2316"/>
    <w:rsid w:val="006C7151"/>
    <w:rsid w:val="006E08B5"/>
    <w:rsid w:val="006E2A43"/>
    <w:rsid w:val="006F05DD"/>
    <w:rsid w:val="00705665"/>
    <w:rsid w:val="00714EBD"/>
    <w:rsid w:val="00737DA2"/>
    <w:rsid w:val="00746376"/>
    <w:rsid w:val="00757EC8"/>
    <w:rsid w:val="00764B7D"/>
    <w:rsid w:val="007D29FA"/>
    <w:rsid w:val="0080569E"/>
    <w:rsid w:val="0082478D"/>
    <w:rsid w:val="008628B3"/>
    <w:rsid w:val="008665DB"/>
    <w:rsid w:val="00872D0F"/>
    <w:rsid w:val="008756FA"/>
    <w:rsid w:val="00875A8F"/>
    <w:rsid w:val="00897F79"/>
    <w:rsid w:val="008A4D4F"/>
    <w:rsid w:val="008F77D3"/>
    <w:rsid w:val="009025A0"/>
    <w:rsid w:val="0090382A"/>
    <w:rsid w:val="00932258"/>
    <w:rsid w:val="00945B26"/>
    <w:rsid w:val="0097516F"/>
    <w:rsid w:val="00977047"/>
    <w:rsid w:val="009A4645"/>
    <w:rsid w:val="009C0F33"/>
    <w:rsid w:val="009D00A5"/>
    <w:rsid w:val="00A06B50"/>
    <w:rsid w:val="00A123BB"/>
    <w:rsid w:val="00A5440D"/>
    <w:rsid w:val="00A602F5"/>
    <w:rsid w:val="00A84893"/>
    <w:rsid w:val="00A93A53"/>
    <w:rsid w:val="00B0731C"/>
    <w:rsid w:val="00B66F7C"/>
    <w:rsid w:val="00B74DCB"/>
    <w:rsid w:val="00BC019B"/>
    <w:rsid w:val="00BF42AE"/>
    <w:rsid w:val="00BF5221"/>
    <w:rsid w:val="00BF67A8"/>
    <w:rsid w:val="00C32C4E"/>
    <w:rsid w:val="00C459E8"/>
    <w:rsid w:val="00C75D34"/>
    <w:rsid w:val="00C9233E"/>
    <w:rsid w:val="00CB4FB4"/>
    <w:rsid w:val="00CD031B"/>
    <w:rsid w:val="00CD592E"/>
    <w:rsid w:val="00CD7A44"/>
    <w:rsid w:val="00CE16FB"/>
    <w:rsid w:val="00CF2C56"/>
    <w:rsid w:val="00D16B5E"/>
    <w:rsid w:val="00D46D3D"/>
    <w:rsid w:val="00D5625E"/>
    <w:rsid w:val="00DC5DC3"/>
    <w:rsid w:val="00DD2BE3"/>
    <w:rsid w:val="00DD6833"/>
    <w:rsid w:val="00DF0435"/>
    <w:rsid w:val="00E25843"/>
    <w:rsid w:val="00E6197C"/>
    <w:rsid w:val="00E61C9E"/>
    <w:rsid w:val="00E660BB"/>
    <w:rsid w:val="00E96861"/>
    <w:rsid w:val="00EB1403"/>
    <w:rsid w:val="00EC548A"/>
    <w:rsid w:val="00ED597C"/>
    <w:rsid w:val="00ED5B66"/>
    <w:rsid w:val="00EE371A"/>
    <w:rsid w:val="00EE7F29"/>
    <w:rsid w:val="00F0290E"/>
    <w:rsid w:val="00F07CBF"/>
    <w:rsid w:val="00F2381A"/>
    <w:rsid w:val="00F312D0"/>
    <w:rsid w:val="00F33A15"/>
    <w:rsid w:val="00F578DB"/>
    <w:rsid w:val="00F724EE"/>
    <w:rsid w:val="00FB76B4"/>
    <w:rsid w:val="00FD5D50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618B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table" w:customStyle="1" w:styleId="TableGrid">
    <w:name w:val="TableGrid"/>
    <w:rsid w:val="005E588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celta-evidenziata1">
    <w:name w:val="scelta-evidenziata1"/>
    <w:basedOn w:val="Carpredefinitoparagrafo"/>
    <w:rsid w:val="00CF2C56"/>
    <w:rPr>
      <w:b/>
      <w:bCs/>
      <w:color w:val="006699"/>
      <w:sz w:val="20"/>
      <w:szCs w:val="20"/>
    </w:rPr>
  </w:style>
  <w:style w:type="paragraph" w:styleId="Testonormale">
    <w:name w:val="Plain Text"/>
    <w:basedOn w:val="Normale"/>
    <w:link w:val="TestonormaleCarattere"/>
    <w:rsid w:val="004B3C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4B3C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eWeb">
    <w:name w:val="Normal (Web)"/>
    <w:basedOn w:val="Normale"/>
    <w:uiPriority w:val="99"/>
    <w:semiHidden/>
    <w:unhideWhenUsed/>
    <w:rsid w:val="0012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r01">
    <w:name w:val="provv_r01"/>
    <w:basedOn w:val="Normale"/>
    <w:uiPriority w:val="99"/>
    <w:rsid w:val="00CD7A44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INCENDIO/PREVENZIONE%20INCENDI.docx" TargetMode="External"/><Relationship Id="rId13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8" Type="http://schemas.openxmlformats.org/officeDocument/2006/relationships/hyperlink" Target="Allegati/PA29-30-31-32-33-34%20Giochi%20elettronici%20leciti.pdf" TargetMode="External"/><Relationship Id="rId26" Type="http://schemas.openxmlformats.org/officeDocument/2006/relationships/hyperlink" Target="Modulistica/10PA%20Vietato-ai-minori.jpg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Walter\sportello%20unico\Progetto%20PUC\PUC\5%20Procedimenti\Definizioni\Riferimenti%20normativi%20e%20di%20controllo.docx" TargetMode="External"/><Relationship Id="rId7" Type="http://schemas.openxmlformats.org/officeDocument/2006/relationships/hyperlink" Target="Definizioni/24PA%20Registro%20soggetti%20abilitati%20New%20Slot.pdf" TargetMode="External"/><Relationship Id="rId12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7" Type="http://schemas.openxmlformats.org/officeDocument/2006/relationships/hyperlink" Target="../Nuova%20modulistica%20Questura/Modello_2114%20Nomina%20e%20revoca%20rapp..docx" TargetMode="External"/><Relationship Id="rId25" Type="http://schemas.openxmlformats.org/officeDocument/2006/relationships/hyperlink" Target="https://www.ats-milano.it/portale/Ats/Carta-dei-Servizi/Guida-ai-servizi/GAP" TargetMode="External"/><Relationship Id="rId2" Type="http://schemas.openxmlformats.org/officeDocument/2006/relationships/styles" Target="styles.xml"/><Relationship Id="rId16" Type="http://schemas.openxmlformats.org/officeDocument/2006/relationships/hyperlink" Target="../Nuova%20modulistica%20Questura/Modello_2107%20Rapp.%20VLT.docx" TargetMode="External"/><Relationship Id="rId20" Type="http://schemas.openxmlformats.org/officeDocument/2006/relationships/hyperlink" Target="Definizioni/7PA%20Tempistica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../../PROGRAMMAZIONE/Punti%20sensibili.pdf" TargetMode="External"/><Relationship Id="rId11" Type="http://schemas.openxmlformats.org/officeDocument/2006/relationships/hyperlink" Target="http://www.impresainungiorno.gov.it/foinfo/info/navigation?execution=e1s5" TargetMode="External"/><Relationship Id="rId24" Type="http://schemas.openxmlformats.org/officeDocument/2006/relationships/hyperlink" Target="https://www.tuttocamere.it/files/psicurezza/1940_635.pdf" TargetMode="External"/><Relationship Id="rId5" Type="http://schemas.openxmlformats.org/officeDocument/2006/relationships/hyperlink" Target="file:///C:\Walter\Comuni\Valgreghentino\Progetto%20PUC\CONTATTI\CONTATTI_LC.docx" TargetMode="External"/><Relationship Id="rId15" Type="http://schemas.openxmlformats.org/officeDocument/2006/relationships/hyperlink" Target="../Nuova%20modulistica%20Questura/Modello_2108%20Sala%20VLT.docx" TargetMode="External"/><Relationship Id="rId23" Type="http://schemas.openxmlformats.org/officeDocument/2006/relationships/hyperlink" Target="https://www.tuttocamere.it/files/psicurezza/1931_773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mpresainungiorno.gov.it/web/guest/comune?codCatastale=L581" TargetMode="External"/><Relationship Id="rId19" Type="http://schemas.openxmlformats.org/officeDocument/2006/relationships/hyperlink" Target="../../ATECO/Ateco%20Arte_Sport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Modulistica%20univoca/MU1%20Dichiarazione%20Componente%20PGT.pdf" TargetMode="External"/><Relationship Id="rId14" Type="http://schemas.openxmlformats.org/officeDocument/2006/relationships/hyperlink" Target="http://www.poliziadistato.it/articolo/210" TargetMode="External"/><Relationship Id="rId22" Type="http://schemas.openxmlformats.org/officeDocument/2006/relationships/hyperlink" Target="file:///C:\Walter\sportello%20unico\Progetto%20PUC\PUC%20NUOVO\3%20Testo%20Unico%20Regolamentare\Parte%205%5e.pdf" TargetMode="External"/><Relationship Id="rId27" Type="http://schemas.openxmlformats.org/officeDocument/2006/relationships/hyperlink" Target="Modulistica/9PA%20cartello-divieto-daccesso-ai-minori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27</cp:revision>
  <dcterms:created xsi:type="dcterms:W3CDTF">2018-07-29T10:07:00Z</dcterms:created>
  <dcterms:modified xsi:type="dcterms:W3CDTF">2021-05-11T14:11:00Z</dcterms:modified>
</cp:coreProperties>
</file>